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0D0751">
      <w:pPr>
        <w:spacing w:after="0"/>
        <w:jc w:val="center"/>
      </w:pPr>
    </w:p>
    <w:p w:rsidR="006E645A" w:rsidRPr="00447446" w:rsidRDefault="006E645A" w:rsidP="000D0751">
      <w:pPr>
        <w:spacing w:after="0"/>
        <w:jc w:val="center"/>
      </w:pPr>
    </w:p>
    <w:p w:rsidR="006E645A" w:rsidRPr="00447446" w:rsidRDefault="006E645A" w:rsidP="000D0751">
      <w:pPr>
        <w:spacing w:after="0"/>
        <w:jc w:val="center"/>
      </w:pPr>
    </w:p>
    <w:p w:rsidR="006E645A" w:rsidRPr="00447446" w:rsidRDefault="006E645A" w:rsidP="000D0751">
      <w:pPr>
        <w:spacing w:after="0"/>
        <w:jc w:val="center"/>
      </w:pPr>
    </w:p>
    <w:p w:rsidR="006E645A" w:rsidRPr="00447446" w:rsidRDefault="006E645A" w:rsidP="000D0751">
      <w:pPr>
        <w:spacing w:after="0"/>
        <w:jc w:val="center"/>
      </w:pPr>
    </w:p>
    <w:p w:rsidR="006E645A" w:rsidRPr="00447446" w:rsidRDefault="006E645A" w:rsidP="000D0751">
      <w:pPr>
        <w:spacing w:after="0"/>
        <w:jc w:val="center"/>
      </w:pPr>
    </w:p>
    <w:p w:rsidR="006E645A" w:rsidRPr="00447446" w:rsidRDefault="006E645A" w:rsidP="000D0751">
      <w:pPr>
        <w:spacing w:after="0"/>
        <w:jc w:val="center"/>
      </w:pPr>
    </w:p>
    <w:p w:rsidR="006E645A" w:rsidRPr="003739BB" w:rsidRDefault="006E645A" w:rsidP="000D0751">
      <w:pPr>
        <w:spacing w:after="0"/>
        <w:jc w:val="center"/>
      </w:pPr>
    </w:p>
    <w:p w:rsidR="003739BB" w:rsidRPr="00970166" w:rsidRDefault="00970166" w:rsidP="000D0751">
      <w:pPr>
        <w:shd w:val="clear" w:color="auto" w:fill="FFFFFF"/>
        <w:spacing w:after="0"/>
        <w:jc w:val="center"/>
        <w:rPr>
          <w:rFonts w:eastAsia="Times New Roman"/>
          <w:b/>
          <w:bCs/>
          <w:color w:val="1D1D1D"/>
        </w:rPr>
      </w:pPr>
      <w:r>
        <w:rPr>
          <w:rFonts w:eastAsia="Times New Roman"/>
          <w:color w:val="1D1D1D"/>
        </w:rPr>
        <w:t>John Brown</w:t>
      </w:r>
    </w:p>
    <w:p w:rsidR="006E645A" w:rsidRPr="009F53D9" w:rsidRDefault="004F430B" w:rsidP="000D0751">
      <w:pPr>
        <w:spacing w:after="0"/>
        <w:jc w:val="center"/>
      </w:pPr>
      <w:r w:rsidRPr="009F53D9">
        <w:t>Name</w:t>
      </w:r>
    </w:p>
    <w:p w:rsidR="006E645A" w:rsidRPr="009F53D9" w:rsidRDefault="004F430B" w:rsidP="000D0751">
      <w:pPr>
        <w:spacing w:after="0"/>
        <w:jc w:val="center"/>
      </w:pPr>
      <w:r w:rsidRPr="009F53D9">
        <w:t>Institution</w:t>
      </w:r>
    </w:p>
    <w:p w:rsidR="00F51FB9" w:rsidRDefault="004F430B" w:rsidP="000D0751">
      <w:pPr>
        <w:spacing w:after="0"/>
        <w:jc w:val="center"/>
      </w:pPr>
      <w:r w:rsidRPr="009F53D9">
        <w:t>Date</w:t>
      </w:r>
    </w:p>
    <w:p w:rsidR="00B20C0E" w:rsidRDefault="00B20C0E" w:rsidP="000D0751">
      <w:pPr>
        <w:spacing w:after="0"/>
        <w:jc w:val="center"/>
      </w:pPr>
    </w:p>
    <w:p w:rsidR="00B20C0E" w:rsidRDefault="00B20C0E" w:rsidP="000D0751">
      <w:pPr>
        <w:spacing w:after="0"/>
        <w:jc w:val="center"/>
      </w:pPr>
    </w:p>
    <w:p w:rsidR="00B20C0E" w:rsidRDefault="00B20C0E" w:rsidP="000D0751">
      <w:pPr>
        <w:spacing w:after="0"/>
        <w:jc w:val="center"/>
      </w:pPr>
    </w:p>
    <w:p w:rsidR="00B20C0E" w:rsidRDefault="00B20C0E" w:rsidP="000D0751">
      <w:pPr>
        <w:spacing w:after="0"/>
        <w:jc w:val="center"/>
      </w:pPr>
    </w:p>
    <w:p w:rsidR="00B20C0E" w:rsidRDefault="00B20C0E" w:rsidP="000D0751">
      <w:pPr>
        <w:spacing w:after="0"/>
        <w:jc w:val="center"/>
      </w:pPr>
    </w:p>
    <w:p w:rsidR="00B20C0E" w:rsidRDefault="00B20C0E" w:rsidP="000D0751">
      <w:pPr>
        <w:spacing w:after="0"/>
        <w:jc w:val="center"/>
      </w:pPr>
    </w:p>
    <w:p w:rsidR="00B20C0E" w:rsidRDefault="00B20C0E" w:rsidP="000D0751">
      <w:pPr>
        <w:spacing w:after="0"/>
        <w:jc w:val="center"/>
      </w:pPr>
    </w:p>
    <w:p w:rsidR="000D0751" w:rsidRDefault="000D0751" w:rsidP="000D0751">
      <w:pPr>
        <w:spacing w:after="0"/>
        <w:jc w:val="center"/>
      </w:pPr>
    </w:p>
    <w:p w:rsidR="000D0751" w:rsidRDefault="000D0751" w:rsidP="000D0751">
      <w:pPr>
        <w:spacing w:after="0"/>
        <w:jc w:val="center"/>
      </w:pPr>
    </w:p>
    <w:p w:rsidR="000D0751" w:rsidRDefault="000D0751" w:rsidP="000D0751">
      <w:pPr>
        <w:spacing w:after="0"/>
        <w:jc w:val="center"/>
      </w:pPr>
    </w:p>
    <w:p w:rsidR="000D0751" w:rsidRDefault="000D0751" w:rsidP="000D0751">
      <w:pPr>
        <w:spacing w:after="0"/>
        <w:jc w:val="center"/>
      </w:pPr>
    </w:p>
    <w:p w:rsidR="000D0751" w:rsidRDefault="000D0751" w:rsidP="000D0751">
      <w:pPr>
        <w:spacing w:after="0"/>
        <w:jc w:val="center"/>
      </w:pPr>
    </w:p>
    <w:p w:rsidR="00B20C0E" w:rsidRDefault="00B20C0E" w:rsidP="000D0751">
      <w:pPr>
        <w:spacing w:after="0"/>
        <w:jc w:val="center"/>
      </w:pPr>
    </w:p>
    <w:p w:rsidR="00970166" w:rsidRDefault="00970166" w:rsidP="006C1E8A">
      <w:pPr>
        <w:shd w:val="clear" w:color="auto" w:fill="FFFFFF"/>
        <w:spacing w:after="0"/>
        <w:jc w:val="center"/>
        <w:rPr>
          <w:rFonts w:eastAsia="Times New Roman"/>
          <w:b/>
          <w:bCs/>
          <w:color w:val="1D1D1D"/>
        </w:rPr>
      </w:pPr>
      <w:r>
        <w:rPr>
          <w:rFonts w:eastAsia="Times New Roman"/>
          <w:color w:val="1D1D1D"/>
        </w:rPr>
        <w:lastRenderedPageBreak/>
        <w:t>John Brown</w:t>
      </w:r>
    </w:p>
    <w:p w:rsidR="00970166" w:rsidRDefault="00970166" w:rsidP="006C1E8A">
      <w:pPr>
        <w:pStyle w:val="ListParagraph"/>
        <w:numPr>
          <w:ilvl w:val="0"/>
          <w:numId w:val="4"/>
        </w:numPr>
        <w:shd w:val="clear" w:color="auto" w:fill="FFFFFF"/>
        <w:spacing w:after="0" w:line="480" w:lineRule="auto"/>
        <w:jc w:val="center"/>
        <w:rPr>
          <w:rFonts w:ascii="Times New Roman" w:eastAsia="Times New Roman" w:hAnsi="Times New Roman" w:cs="Times New Roman"/>
          <w:b/>
          <w:bCs/>
          <w:color w:val="1D1D1D"/>
          <w:sz w:val="24"/>
          <w:szCs w:val="24"/>
        </w:rPr>
      </w:pPr>
      <w:r>
        <w:rPr>
          <w:rFonts w:ascii="Times New Roman" w:eastAsia="Times New Roman" w:hAnsi="Times New Roman" w:cs="Times New Roman"/>
          <w:b/>
          <w:bCs/>
          <w:color w:val="1D1D1D"/>
          <w:sz w:val="24"/>
          <w:szCs w:val="24"/>
        </w:rPr>
        <w:t>Was John Brown’s trial fair?</w:t>
      </w:r>
    </w:p>
    <w:p w:rsidR="00970166" w:rsidRDefault="00970166" w:rsidP="000D0751">
      <w:pPr>
        <w:shd w:val="clear" w:color="auto" w:fill="FFFFFF"/>
        <w:spacing w:after="0"/>
        <w:ind w:firstLine="720"/>
        <w:jc w:val="both"/>
        <w:rPr>
          <w:rFonts w:eastAsia="Times New Roman"/>
          <w:color w:val="1D1D1D"/>
        </w:rPr>
      </w:pPr>
      <w:r>
        <w:rPr>
          <w:rFonts w:eastAsia="Times New Roman"/>
          <w:color w:val="1D1D1D"/>
        </w:rPr>
        <w:t>From his arrest to the time when he was arraigned in court, the trial process of John Brown was hurried based on the governor of Virginia’s requests. A week after their arrest, John and his co-accused were arraigned before the county courthouse in Charleston. Later that afternoon, an injured John was brought ba</w:t>
      </w:r>
      <w:r w:rsidR="003D3198">
        <w:rPr>
          <w:rFonts w:eastAsia="Times New Roman"/>
          <w:color w:val="1D1D1D"/>
        </w:rPr>
        <w:t xml:space="preserve">ck into the courthouse </w:t>
      </w:r>
      <w:r>
        <w:rPr>
          <w:rFonts w:eastAsia="Times New Roman"/>
          <w:color w:val="1D1D1D"/>
        </w:rPr>
        <w:t>for the beginning of his trial (</w:t>
      </w:r>
      <w:r>
        <w:t>Fleming, 2018</w:t>
      </w:r>
      <w:r>
        <w:rPr>
          <w:rFonts w:eastAsia="Times New Roman"/>
          <w:color w:val="1D1D1D"/>
        </w:rPr>
        <w:t>). They did not even wait until he got better so he could be in a position to defend himself in court. The time taken to try John was ridiculously short, giving little time for the defence team to come up with a solid case. The judge repeatedly declined requests from the defence to delay the trial process to allow the defence team to assemble a concrete counter-argument. Furthermore, the defence was allowed to introduce into the case evidence that was collected illegally collected from John's farmhouse</w:t>
      </w:r>
    </w:p>
    <w:p w:rsidR="00970166" w:rsidRDefault="00970166" w:rsidP="000D0751">
      <w:pPr>
        <w:shd w:val="clear" w:color="auto" w:fill="FFFFFF"/>
        <w:spacing w:after="0"/>
        <w:ind w:firstLine="720"/>
        <w:jc w:val="both"/>
        <w:rPr>
          <w:rFonts w:eastAsia="Times New Roman"/>
          <w:color w:val="1D1D1D"/>
        </w:rPr>
      </w:pPr>
      <w:r>
        <w:rPr>
          <w:rFonts w:eastAsia="Times New Roman"/>
          <w:color w:val="1D1D1D"/>
        </w:rPr>
        <w:t>Additionally, the jury, whose members were carefully selected and whose composition was majorly slave owners who had personal interests in the case, was bound to come up with a biased decision. This comes out clearly when they took less than one hour to come up with the conclusion that John was guilty of all charges laid against him. Two days later, the judge sentenced John to a death penalty (</w:t>
      </w:r>
      <w:r>
        <w:t>Fleming, 2018</w:t>
      </w:r>
      <w:r>
        <w:rPr>
          <w:rFonts w:eastAsia="Times New Roman"/>
          <w:color w:val="1D1D1D"/>
        </w:rPr>
        <w:t>). The prosecution witnesses selected also had personal interests in the case, while those in the defence side were highly disregarded even by the court. Finally, the court seemed to be inclining more to the treason and murder charges, for which they had gathered sufficient evidence, as compared to the charges relating to the conspiracy to incite slaves against their owners, the sole reason for his arrest. Therefore, based on this evidence, the trial of John Brown was far from being fair.</w:t>
      </w:r>
    </w:p>
    <w:p w:rsidR="006C1E8A" w:rsidRDefault="006C1E8A" w:rsidP="000D0751">
      <w:pPr>
        <w:shd w:val="clear" w:color="auto" w:fill="FFFFFF"/>
        <w:spacing w:after="0"/>
        <w:ind w:firstLine="720"/>
        <w:jc w:val="both"/>
        <w:rPr>
          <w:rFonts w:eastAsia="Times New Roman"/>
          <w:color w:val="1D1D1D"/>
        </w:rPr>
      </w:pPr>
    </w:p>
    <w:p w:rsidR="006C1E8A" w:rsidRDefault="006C1E8A" w:rsidP="000D0751">
      <w:pPr>
        <w:shd w:val="clear" w:color="auto" w:fill="FFFFFF"/>
        <w:spacing w:after="0"/>
        <w:ind w:firstLine="720"/>
        <w:jc w:val="both"/>
        <w:rPr>
          <w:rFonts w:eastAsia="Times New Roman"/>
          <w:color w:val="1D1D1D"/>
        </w:rPr>
      </w:pPr>
    </w:p>
    <w:p w:rsidR="00970166" w:rsidRDefault="00970166" w:rsidP="000D0751">
      <w:pPr>
        <w:shd w:val="clear" w:color="auto" w:fill="FFFFFF"/>
        <w:spacing w:after="0"/>
        <w:ind w:firstLine="720"/>
        <w:jc w:val="both"/>
        <w:rPr>
          <w:rFonts w:eastAsia="Times New Roman"/>
          <w:color w:val="1D1D1D"/>
        </w:rPr>
      </w:pPr>
      <w:r>
        <w:rPr>
          <w:rFonts w:eastAsia="Times New Roman"/>
          <w:b/>
          <w:bCs/>
          <w:color w:val="1D1D1D"/>
        </w:rPr>
        <w:lastRenderedPageBreak/>
        <w:t>2</w:t>
      </w:r>
      <w:r>
        <w:rPr>
          <w:rFonts w:eastAsia="Times New Roman"/>
          <w:color w:val="1D1D1D"/>
        </w:rPr>
        <w:t xml:space="preserve">. </w:t>
      </w:r>
      <w:r>
        <w:rPr>
          <w:rFonts w:eastAsia="Times New Roman"/>
          <w:b/>
          <w:bCs/>
          <w:color w:val="1D1D1D"/>
        </w:rPr>
        <w:t>Would giving him a fair trial have obstructed the march towards the civil war?</w:t>
      </w:r>
    </w:p>
    <w:p w:rsidR="00970166" w:rsidRDefault="00970166" w:rsidP="000D0751">
      <w:pPr>
        <w:spacing w:after="0"/>
        <w:ind w:firstLine="720"/>
        <w:jc w:val="both"/>
      </w:pPr>
      <w:r>
        <w:t xml:space="preserve">Irrespective of all the other factors, the arrest of John, a known abolitionist, in Virginia was by itself a tipping point towards the decision to go to war. As much as the arrest, trial and execution of John Brown ensured the election of President Abraham Lincoln, it pushed the North and South a step closer towards the war, whether or not it was conducted fairly. In the south, John’s raids, which were funded and sponsored by some abolitionists in the North, meant that these abolitionists were meddling in the business of the southern states. Based on this, talks about secession started getting into the floor of the U.S Senate, being introduced by Senator Jefferson Davis (Carvalho III, 2020).  On the other hand, in the North, John Brown was treated as a political </w:t>
      </w:r>
      <w:r w:rsidR="00A60664">
        <w:t>martyr; killed</w:t>
      </w:r>
      <w:r>
        <w:t xml:space="preserve"> fighting for what is right and just. By unjustly trying one of their own, the abolitionists in the North felt the need to respond to these actions of the Southern proslavery state.</w:t>
      </w: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970166" w:rsidRDefault="00970166" w:rsidP="000D0751">
      <w:pPr>
        <w:spacing w:after="0"/>
        <w:ind w:firstLine="720"/>
        <w:jc w:val="both"/>
      </w:pPr>
    </w:p>
    <w:p w:rsidR="000D0751" w:rsidRDefault="000D0751" w:rsidP="000D0751">
      <w:pPr>
        <w:spacing w:after="0"/>
        <w:jc w:val="center"/>
      </w:pPr>
    </w:p>
    <w:p w:rsidR="000D0751" w:rsidRDefault="000D0751" w:rsidP="000D0751">
      <w:pPr>
        <w:spacing w:after="0"/>
        <w:jc w:val="center"/>
      </w:pPr>
    </w:p>
    <w:p w:rsidR="000D0751" w:rsidRDefault="000D0751" w:rsidP="000D0751">
      <w:pPr>
        <w:spacing w:after="0"/>
        <w:jc w:val="center"/>
      </w:pPr>
    </w:p>
    <w:p w:rsidR="00970166" w:rsidRDefault="00970166" w:rsidP="000D0751">
      <w:pPr>
        <w:spacing w:after="0"/>
        <w:jc w:val="center"/>
      </w:pPr>
      <w:r>
        <w:lastRenderedPageBreak/>
        <w:t>References</w:t>
      </w:r>
    </w:p>
    <w:p w:rsidR="00970166" w:rsidRDefault="00970166" w:rsidP="000D0751">
      <w:pPr>
        <w:spacing w:after="0"/>
        <w:ind w:left="720" w:hanging="720"/>
        <w:jc w:val="both"/>
      </w:pPr>
      <w:r>
        <w:t>Carvalho III, J. (2020). John Brown's Transformation: The Springfield Years, 1846-1849. Historical Journal of Massachusetts, 48(1), 46-96.</w:t>
      </w:r>
    </w:p>
    <w:p w:rsidR="00970166" w:rsidRDefault="00970166" w:rsidP="000D0751">
      <w:pPr>
        <w:spacing w:after="0"/>
        <w:ind w:left="720" w:hanging="720"/>
        <w:jc w:val="both"/>
      </w:pPr>
      <w:r>
        <w:t>Fleming, T. (2018). The Trial of John Brown. New Word City.</w:t>
      </w:r>
    </w:p>
    <w:p w:rsidR="00B20C0E" w:rsidRPr="00B20C0E" w:rsidRDefault="00B20C0E" w:rsidP="000D0751">
      <w:pPr>
        <w:spacing w:after="0"/>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76E" w:rsidRDefault="00AD176E">
      <w:pPr>
        <w:spacing w:after="0" w:line="240" w:lineRule="auto"/>
      </w:pPr>
      <w:r>
        <w:separator/>
      </w:r>
    </w:p>
  </w:endnote>
  <w:endnote w:type="continuationSeparator" w:id="1">
    <w:p w:rsidR="00AD176E" w:rsidRDefault="00AD17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76E" w:rsidRDefault="00AD176E">
      <w:pPr>
        <w:spacing w:after="0" w:line="240" w:lineRule="auto"/>
      </w:pPr>
      <w:r>
        <w:separator/>
      </w:r>
    </w:p>
  </w:footnote>
  <w:footnote w:type="continuationSeparator" w:id="1">
    <w:p w:rsidR="00AD176E" w:rsidRDefault="00AD17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70166" w:rsidP="00B90E54">
        <w:r>
          <w:rPr>
            <w:rFonts w:eastAsia="Times New Roman"/>
            <w:color w:val="1D1D1D"/>
          </w:rPr>
          <w:t>JOHN BROWN</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483E64">
          <w:fldChar w:fldCharType="begin"/>
        </w:r>
        <w:r w:rsidR="00532362">
          <w:instrText xml:space="preserve"> PAGE   \* MERGEFORMAT </w:instrText>
        </w:r>
        <w:r w:rsidR="00483E64">
          <w:fldChar w:fldCharType="separate"/>
        </w:r>
        <w:r w:rsidR="00A60664">
          <w:rPr>
            <w:noProof/>
          </w:rPr>
          <w:t>3</w:t>
        </w:r>
        <w:r w:rsidR="00483E6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70166" w:rsidRDefault="004F430B" w:rsidP="00970166">
    <w:pPr>
      <w:shd w:val="clear" w:color="auto" w:fill="FFFFFF"/>
      <w:spacing w:after="0"/>
      <w:rPr>
        <w:rFonts w:eastAsia="Times New Roman"/>
        <w:b/>
        <w:bCs/>
        <w:color w:val="1D1D1D"/>
      </w:rPr>
    </w:pPr>
    <w:r>
      <w:t xml:space="preserve">Running </w:t>
    </w:r>
    <w:r w:rsidR="00A60664">
      <w:t>head:</w:t>
    </w:r>
    <w:r w:rsidR="00A60664">
      <w:rPr>
        <w:rFonts w:eastAsia="Times New Roman"/>
        <w:color w:val="1D1D1D"/>
      </w:rPr>
      <w:t xml:space="preserve"> JOHN</w:t>
    </w:r>
    <w:r w:rsidR="00970166">
      <w:rPr>
        <w:rFonts w:eastAsia="Times New Roman"/>
        <w:color w:val="1D1D1D"/>
      </w:rPr>
      <w:t xml:space="preserve"> BROWN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70FC8"/>
    <w:multiLevelType w:val="hybridMultilevel"/>
    <w:tmpl w:val="9E940976"/>
    <w:lvl w:ilvl="0" w:tplc="1D8AA5B4">
      <w:start w:val="1"/>
      <w:numFmt w:val="decimal"/>
      <w:lvlText w:val="%1."/>
      <w:lvlJc w:val="left"/>
      <w:pPr>
        <w:ind w:left="720" w:hanging="360"/>
      </w:pPr>
    </w:lvl>
    <w:lvl w:ilvl="1" w:tplc="5950ABDE">
      <w:start w:val="1"/>
      <w:numFmt w:val="lowerLetter"/>
      <w:lvlText w:val="%2."/>
      <w:lvlJc w:val="left"/>
      <w:pPr>
        <w:ind w:left="1440" w:hanging="360"/>
      </w:pPr>
    </w:lvl>
    <w:lvl w:ilvl="2" w:tplc="04D25E46">
      <w:start w:val="1"/>
      <w:numFmt w:val="lowerRoman"/>
      <w:lvlText w:val="%3."/>
      <w:lvlJc w:val="right"/>
      <w:pPr>
        <w:ind w:left="2160" w:hanging="180"/>
      </w:pPr>
    </w:lvl>
    <w:lvl w:ilvl="3" w:tplc="263E626C">
      <w:start w:val="1"/>
      <w:numFmt w:val="decimal"/>
      <w:lvlText w:val="%4."/>
      <w:lvlJc w:val="left"/>
      <w:pPr>
        <w:ind w:left="2880" w:hanging="360"/>
      </w:pPr>
    </w:lvl>
    <w:lvl w:ilvl="4" w:tplc="48EE44CC">
      <w:start w:val="1"/>
      <w:numFmt w:val="lowerLetter"/>
      <w:lvlText w:val="%5."/>
      <w:lvlJc w:val="left"/>
      <w:pPr>
        <w:ind w:left="3600" w:hanging="360"/>
      </w:pPr>
    </w:lvl>
    <w:lvl w:ilvl="5" w:tplc="A3187DD2">
      <w:start w:val="1"/>
      <w:numFmt w:val="lowerRoman"/>
      <w:lvlText w:val="%6."/>
      <w:lvlJc w:val="right"/>
      <w:pPr>
        <w:ind w:left="4320" w:hanging="180"/>
      </w:pPr>
    </w:lvl>
    <w:lvl w:ilvl="6" w:tplc="3E7EC006">
      <w:start w:val="1"/>
      <w:numFmt w:val="decimal"/>
      <w:lvlText w:val="%7."/>
      <w:lvlJc w:val="left"/>
      <w:pPr>
        <w:ind w:left="5040" w:hanging="360"/>
      </w:pPr>
    </w:lvl>
    <w:lvl w:ilvl="7" w:tplc="1E7E27E8">
      <w:start w:val="1"/>
      <w:numFmt w:val="lowerLetter"/>
      <w:lvlText w:val="%8."/>
      <w:lvlJc w:val="left"/>
      <w:pPr>
        <w:ind w:left="5760" w:hanging="360"/>
      </w:pPr>
    </w:lvl>
    <w:lvl w:ilvl="8" w:tplc="372E579C">
      <w:start w:val="1"/>
      <w:numFmt w:val="lowerRoman"/>
      <w:lvlText w:val="%9."/>
      <w:lvlJc w:val="right"/>
      <w:pPr>
        <w:ind w:left="6480" w:hanging="180"/>
      </w:pPr>
    </w:lvl>
  </w:abstractNum>
  <w:abstractNum w:abstractNumId="1">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2">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0751"/>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04E4"/>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8E"/>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3BFF"/>
    <w:rsid w:val="00394206"/>
    <w:rsid w:val="003961EF"/>
    <w:rsid w:val="00397A6A"/>
    <w:rsid w:val="003A19E7"/>
    <w:rsid w:val="003A23A2"/>
    <w:rsid w:val="003A65D1"/>
    <w:rsid w:val="003B19B4"/>
    <w:rsid w:val="003C2B59"/>
    <w:rsid w:val="003D0B76"/>
    <w:rsid w:val="003D1ACD"/>
    <w:rsid w:val="003D1FF2"/>
    <w:rsid w:val="003D2BEE"/>
    <w:rsid w:val="003D3198"/>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3E64"/>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1E8A"/>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166"/>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664"/>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176E"/>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71330510">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2020-04-18T10:47:00Z</dcterms:created>
  <dcterms:modified xsi:type="dcterms:W3CDTF">2020-04-18T10:47:00Z</dcterms:modified>
</cp:coreProperties>
</file>